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F1" w:rsidRPr="00F60E86" w:rsidRDefault="001E59F1" w:rsidP="00146B57">
      <w:pPr>
        <w:rPr>
          <w:sz w:val="24"/>
        </w:rPr>
      </w:pPr>
    </w:p>
    <w:tbl>
      <w:tblPr>
        <w:tblpPr w:leftFromText="45" w:rightFromText="45" w:vertAnchor="text"/>
        <w:tblW w:w="1008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8934"/>
      </w:tblGrid>
      <w:tr w:rsidR="00F60E86" w:rsidRPr="00F60E86" w:rsidTr="00F60E8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60E86" w:rsidRPr="00F60E86" w:rsidRDefault="00F60E86" w:rsidP="00F60E86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8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60E86" w:rsidRPr="00F60E86" w:rsidRDefault="00F60E86" w:rsidP="00A44CC1">
            <w:pPr>
              <w:bidi w:val="0"/>
              <w:spacing w:after="240"/>
              <w:jc w:val="right"/>
              <w:rPr>
                <w:sz w:val="24"/>
              </w:rPr>
            </w:pP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هدف: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این تست برای تشخیص و ارزیابی مبتلایان به بیماری کبدی یا استخوانی استفاده میشود.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دامنه</w:t>
            </w:r>
            <w:r w:rsidRPr="00F60E86">
              <w:rPr>
                <w:rFonts w:cs="Times New Roman"/>
                <w:sz w:val="24"/>
                <w:rtl/>
              </w:rPr>
              <w:t> </w:t>
            </w:r>
            <w:r w:rsidRPr="00F60E86">
              <w:rPr>
                <w:b/>
                <w:bCs/>
                <w:sz w:val="24"/>
                <w:rtl/>
              </w:rPr>
              <w:t>کاربرد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این تست برای تشخیص و ارزیابی مبتلایان به بیماری کبدی یا استخوانی استفاده میشود.این انزیم در بسیاری از بافتها وجود دارد اما بیشترین غلظت ان در کبد</w:t>
            </w:r>
            <w:r w:rsidRPr="00F60E86">
              <w:rPr>
                <w:sz w:val="24"/>
              </w:rPr>
              <w:t> ,</w:t>
            </w:r>
            <w:r w:rsidRPr="00F60E86">
              <w:rPr>
                <w:sz w:val="24"/>
                <w:rtl/>
              </w:rPr>
              <w:t>سلولهای مجاری صفراوی و استخوان میباشدو مخاط روده و جفت ونیز حاوی این انزیم هستند. به این جهت این انزیم را قلیایی مینامند که فعالیت ان در محیط قلیایی افزایش میابد.استخوان</w:t>
            </w:r>
            <w:r w:rsidRPr="00F60E86">
              <w:rPr>
                <w:sz w:val="24"/>
              </w:rPr>
              <w:t> , </w:t>
            </w:r>
            <w:r w:rsidRPr="00F60E86">
              <w:rPr>
                <w:sz w:val="24"/>
                <w:rtl/>
              </w:rPr>
              <w:t>معمولترین منبع خارج کبدی الکالن است .رشداستخوانی جدید با افزایش سطح الکالن همراه است</w:t>
            </w:r>
            <w:r w:rsidRPr="00F60E86">
              <w:rPr>
                <w:sz w:val="24"/>
              </w:rPr>
              <w:t xml:space="preserve"> .ALP </w:t>
            </w:r>
            <w:r w:rsidRPr="00F60E86">
              <w:rPr>
                <w:sz w:val="24"/>
                <w:rtl/>
              </w:rPr>
              <w:t>درون سلولهای کوپفر کبدی وجود دارد</w:t>
            </w:r>
            <w:r w:rsidRPr="00F60E86">
              <w:rPr>
                <w:sz w:val="24"/>
              </w:rPr>
              <w:t> ,</w:t>
            </w:r>
            <w:r w:rsidRPr="00F60E86">
              <w:rPr>
                <w:sz w:val="24"/>
                <w:rtl/>
              </w:rPr>
              <w:t>این سلولها سیستم جمع کننده صفرا را فرش کردند.این انزیم درون صفرا ترشح میشود .سطح انزیم الکالن در بیماری های انسدادی صفراوی داخل و خارج کبدی و سیروز افزایش میابد و سایر اختلالات کبدی از قبیل تومورهای کبد</w:t>
            </w:r>
            <w:r w:rsidRPr="00F60E86">
              <w:rPr>
                <w:sz w:val="24"/>
              </w:rPr>
              <w:t> ,</w:t>
            </w:r>
            <w:r w:rsidRPr="00F60E86">
              <w:rPr>
                <w:sz w:val="24"/>
                <w:rtl/>
              </w:rPr>
              <w:t>داروهای هپاتوتوکسیک و هپاتیت موجب افزایش کمتری در سطح الکالن میگردد. گزارش ها دال بر انند که الکالن حساسترین ازمایش نشان دهنده متاستاز تومور به کبد میباشد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الکالن فسفاتاز انزیم هیدرولیتیکی است که اپتیمم فعالیت ان در</w:t>
            </w:r>
            <w:r w:rsidRPr="00F60E86">
              <w:rPr>
                <w:sz w:val="24"/>
              </w:rPr>
              <w:t> PH </w:t>
            </w:r>
            <w:r w:rsidRPr="00F60E86">
              <w:rPr>
                <w:sz w:val="24"/>
                <w:rtl/>
              </w:rPr>
              <w:t>قلیایی است .در خون به اشکال متفاوتی وجود دارد.در کبد و استخوان به میزان زیاد یافت میشود اما در نسوج دیگر مانند کلیه؛جفت؛ جدار روده؛ غده تیموس؛ ریه و بیضه نیز یافت میشوند.بطور فیزیولوژیک مقدار الکالن فسفاتاز سرم؛ در بجه های در حال رشد و در دوران بارداری ؛ و بطور پاتولوژیک در ضایعات استخوانی و کبدی افزایش میابد همچنین در انسداد مجرای صفراوی ؛کلستاز؛ یرقان های انسدادی؛کیست و ابسه کبدی؛ عفونت های هپاتیتی؛بیماری های استخوانیو مواردی که فعالیت های استئوئبلاستها زیاد است مانند پاژت؛ راشیتیسم و استئومالاسیا و هیپرپاراتیرویدیسم مقدار الکالن افزایش می یابد</w:t>
            </w:r>
            <w:r w:rsidRPr="00F60E86">
              <w:rPr>
                <w:sz w:val="24"/>
              </w:rPr>
              <w:t>.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صلاحیت و شایستگی کاربر</w:t>
            </w:r>
            <w:r w:rsidRPr="00F60E86">
              <w:rPr>
                <w:sz w:val="24"/>
              </w:rPr>
              <w:t>: 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جهت حصول اطمینان از نحوه صحیح این آزمایش توسط پرسنل بخش، مطالعه کامل این دستورالعمل همراه با گذراندن دوره آزمایشی به مدت 7 روز کاری یا حداقل 5 روز کاری تحت نظر مسوول بخش مربوطه الزامی است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اقدامات وابسته</w:t>
            </w:r>
            <w:r w:rsidRPr="00F60E86">
              <w:rPr>
                <w:b/>
                <w:bCs/>
                <w:sz w:val="24"/>
              </w:rPr>
              <w:t> 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ـ اطلاع داشتن در مورد تاثيرات متقابل</w:t>
            </w:r>
            <w:r w:rsidRPr="00F60E86">
              <w:rPr>
                <w:sz w:val="24"/>
              </w:rPr>
              <w:t> Cross Reaction </w:t>
            </w:r>
            <w:r w:rsidRPr="00F60E86">
              <w:rPr>
                <w:sz w:val="24"/>
                <w:rtl/>
              </w:rPr>
              <w:t>بر روي تست از جمله تداخلات دارويي و يا عوامل مداخله گري چون ايكتريك ، هموليز و ليمپيك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ـ داشتن آشنايي كامل با اصول كنترل كيفي و محدوده مجاز تعيين شده براي اين تست و آگاهي از تفسير نتايج حاصله از كنترل كيفي قوانين موجود در آزمايشگاه از جمله قوانين وستگارد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ـ آشنايي با سيستم نرم افزاري كنترل كيفي آزمايشگاه جهت ثبت نتايج حاصل از سرم كنترلهاي خوانده شده و تحليل آماري نتايج حاصله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ـ آشنايي با روش ساخت محلول ها و شرايط نگهداري آنها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ـ داشتن آگاهي كامل نسبت به كاليبره بوده تجهيزات از جمله اتوآناليزر ، سمپلرها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lastRenderedPageBreak/>
              <w:t>ـ داشتن آگاهي كامل نسبت به سالم بودن ادوات و تاريخ انقضاء آن از جمله سرم كنترل ها ، كاليبراتور و نيز محلول هاي مربوطه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ـ آشنايي با اپراتوري تجهيزات لازم براي انجام تست از قبيل : اتوآناليزر ، سمپلرها ، سانتريفيوژها و</w:t>
            </w:r>
            <w:r w:rsidRPr="00F60E86">
              <w:rPr>
                <w:sz w:val="24"/>
              </w:rPr>
              <w:t xml:space="preserve"> …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ـ آگاهي كامل نسب به اصول ايمني و كار در آزمايشگاه و نيز بهداشت و ايمني دفع مواد زائد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موارد کاربرد</w:t>
            </w:r>
            <w:r w:rsidRPr="00F60E86">
              <w:rPr>
                <w:b/>
                <w:bCs/>
                <w:sz w:val="24"/>
              </w:rPr>
              <w:t> 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این تست برای تشخیص و ارزیابی مبتلایان به بیماری کبدی یا استخوانی استفاده میشود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صلاحیت و شایستگی کاربر</w:t>
            </w:r>
            <w:r w:rsidRPr="00F60E86">
              <w:rPr>
                <w:b/>
                <w:bCs/>
                <w:sz w:val="24"/>
              </w:rPr>
              <w:t> 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از آنجا که این تست توسط اپراتور بخش بیوشیمی انجام می</w:t>
            </w:r>
            <w:r w:rsidRPr="00F60E86">
              <w:rPr>
                <w:sz w:val="24"/>
                <w:rtl/>
              </w:rPr>
              <w:softHyphen/>
              <w:t>شود لذا تمامی موارد صلاحیت و شایستگی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در بخش مربوطه از جمله تحصیلات، مهارت، تجربه و آموزش باید رعایت گردد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تجهیزات، مواد، لوازم و آماده</w:t>
            </w:r>
            <w:r w:rsidRPr="00F60E86">
              <w:rPr>
                <w:sz w:val="24"/>
                <w:rtl/>
              </w:rPr>
              <w:softHyphen/>
              <w:t>سازی</w:t>
            </w:r>
            <w:r w:rsidRPr="00F60E86">
              <w:rPr>
                <w:sz w:val="24"/>
                <w:rtl/>
              </w:rPr>
              <w:softHyphen/>
              <w:t>های مورد نیاز قبل از انجام کار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وسایل معمول آزمایشگاه موجود باشد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دستگاه از قبل کالیبره و آماده کار باشد</w:t>
            </w:r>
            <w:r w:rsidRPr="00F60E86">
              <w:rPr>
                <w:sz w:val="24"/>
              </w:rPr>
              <w:br/>
              <w:t>PH </w:t>
            </w:r>
            <w:r w:rsidRPr="00F60E86">
              <w:rPr>
                <w:sz w:val="24"/>
                <w:rtl/>
              </w:rPr>
              <w:t>آب مقطر متصل به دستگاه اندازه گیری شده باشد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کنترل کیفی قبل از انجام کار و حین کار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بمنظور اطمينان از صحت و دقت آزمايشات ما ملزم به قرار دادن سرم كنترل در اتواناليزر هستيم . سرم كنترل را در شروع كار و قبل از گزارش جواب بيماران در دستگاه قرار داده و بعد از بدست آوردن جواب سرم كنترل هاي خوانده شده آنرا در منحني لوي جينگ قرار داده و بر اساس قوانين وستگارد صحت و دقت آنرا بررسي مي كنيم</w:t>
            </w:r>
            <w:r w:rsidRPr="00F60E86">
              <w:rPr>
                <w:sz w:val="24"/>
              </w:rPr>
              <w:t xml:space="preserve"> .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جهت کالیبر استاندارد با کالیبراتور</w:t>
            </w:r>
            <w:r w:rsidRPr="00F60E86">
              <w:rPr>
                <w:sz w:val="24"/>
              </w:rPr>
              <w:t> </w:t>
            </w:r>
            <w:proofErr w:type="spellStart"/>
            <w:r w:rsidRPr="00F60E86">
              <w:rPr>
                <w:sz w:val="24"/>
              </w:rPr>
              <w:t>TruCal</w:t>
            </w:r>
            <w:proofErr w:type="spellEnd"/>
            <w:r w:rsidRPr="00F60E86">
              <w:rPr>
                <w:sz w:val="24"/>
              </w:rPr>
              <w:t xml:space="preserve"> U </w:t>
            </w:r>
            <w:r w:rsidRPr="00F60E86">
              <w:rPr>
                <w:sz w:val="24"/>
                <w:rtl/>
              </w:rPr>
              <w:t>و جهت کنترل</w:t>
            </w:r>
            <w:r w:rsidRPr="00F60E86">
              <w:rPr>
                <w:sz w:val="24"/>
              </w:rPr>
              <w:t> </w:t>
            </w:r>
            <w:proofErr w:type="spellStart"/>
            <w:r w:rsidRPr="00F60E86">
              <w:rPr>
                <w:sz w:val="24"/>
              </w:rPr>
              <w:t>Trulab</w:t>
            </w:r>
            <w:proofErr w:type="spellEnd"/>
            <w:r w:rsidRPr="00F60E86">
              <w:rPr>
                <w:sz w:val="24"/>
              </w:rPr>
              <w:t xml:space="preserve"> N </w:t>
            </w:r>
            <w:r w:rsidRPr="00F60E86">
              <w:rPr>
                <w:sz w:val="24"/>
                <w:rtl/>
              </w:rPr>
              <w:t>و</w:t>
            </w:r>
            <w:r w:rsidRPr="00F60E86">
              <w:rPr>
                <w:sz w:val="24"/>
              </w:rPr>
              <w:t> </w:t>
            </w:r>
            <w:proofErr w:type="spellStart"/>
            <w:r w:rsidRPr="00F60E86">
              <w:rPr>
                <w:sz w:val="24"/>
              </w:rPr>
              <w:t>Trulab</w:t>
            </w:r>
            <w:proofErr w:type="spellEnd"/>
            <w:r w:rsidRPr="00F60E86">
              <w:rPr>
                <w:sz w:val="24"/>
              </w:rPr>
              <w:t xml:space="preserve"> P </w:t>
            </w:r>
            <w:r w:rsidRPr="00F60E86">
              <w:rPr>
                <w:sz w:val="24"/>
                <w:rtl/>
              </w:rPr>
              <w:t>بطور جداگانه استفاده کنید</w:t>
            </w:r>
            <w:r w:rsidRPr="00F60E86">
              <w:rPr>
                <w:sz w:val="24"/>
              </w:rPr>
              <w:t>.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نمونه لازم و موارد رد نمونه</w:t>
            </w:r>
            <w:r w:rsidRPr="00F60E86">
              <w:rPr>
                <w:b/>
                <w:bCs/>
                <w:sz w:val="24"/>
              </w:rPr>
              <w:t xml:space="preserve"> :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نمونه سرم یا پلاسمای هپارینه یا</w:t>
            </w:r>
            <w:r w:rsidRPr="00F60E86">
              <w:rPr>
                <w:sz w:val="24"/>
              </w:rPr>
              <w:t> EDTA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نمونه نباید همولیز ، لیپمیک و یا ایکتریک باشد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نمونه باید شفاف و فاقد هر گونه</w:t>
            </w:r>
            <w:r w:rsidRPr="00F60E86">
              <w:rPr>
                <w:sz w:val="24"/>
              </w:rPr>
              <w:t> Clot </w:t>
            </w:r>
            <w:r w:rsidRPr="00F60E86">
              <w:rPr>
                <w:sz w:val="24"/>
                <w:rtl/>
              </w:rPr>
              <w:t>و یا رشته های فیبرین باشد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حداقل حجم مورد نیاز برای سنجش</w:t>
            </w:r>
            <w:r w:rsidRPr="00F60E86">
              <w:rPr>
                <w:rFonts w:cs="Times New Roman"/>
                <w:sz w:val="24"/>
                <w:rtl/>
              </w:rPr>
              <w:t> </w:t>
            </w:r>
            <w:r w:rsidRPr="00F60E86">
              <w:rPr>
                <w:sz w:val="24"/>
                <w:rtl/>
              </w:rPr>
              <w:t>مقدار 200 میکرولیتر می باشد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ذخیره سازی نمونه در دمای</w:t>
            </w:r>
            <w:r w:rsidRPr="00F60E86">
              <w:rPr>
                <w:sz w:val="24"/>
              </w:rPr>
              <w:t> 2-8°c </w:t>
            </w:r>
            <w:r w:rsidRPr="00F60E86">
              <w:rPr>
                <w:sz w:val="24"/>
                <w:rtl/>
              </w:rPr>
              <w:t>به مدت5 روز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ذخیره سازی نمونه در دمای</w:t>
            </w:r>
            <w:r w:rsidRPr="00F60E86">
              <w:rPr>
                <w:sz w:val="24"/>
              </w:rPr>
              <w:t> -20°c  </w:t>
            </w:r>
            <w:r w:rsidRPr="00F60E86">
              <w:rPr>
                <w:sz w:val="24"/>
                <w:rtl/>
              </w:rPr>
              <w:t>جهت نگهداری بیش از 5 روز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نمونه های ذخیره شده در فریز بعد از دفریز شدن باید توسط ورتکس، همگن شوند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از فریز کردن نمونه هایی که قبلاً دفریز شده اند به شدت اجتناب شود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لوازم مورد نیاز</w:t>
            </w:r>
            <w:r w:rsidRPr="00F60E86">
              <w:rPr>
                <w:b/>
                <w:bCs/>
                <w:sz w:val="24"/>
              </w:rPr>
              <w:t> 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کیت مورد نظر سمپلر 100 میکرولیتر کالیبر همراه با سر سمپلرهای نو یکبار مصرف مناسب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دستکش های یکبار مصرف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lastRenderedPageBreak/>
              <w:br/>
            </w:r>
            <w:r w:rsidRPr="00F60E86">
              <w:rPr>
                <w:b/>
                <w:bCs/>
                <w:sz w:val="24"/>
                <w:rtl/>
              </w:rPr>
              <w:t>اساس آزمایش</w:t>
            </w:r>
            <w:r w:rsidRPr="00F60E86">
              <w:rPr>
                <w:sz w:val="24"/>
              </w:rPr>
              <w:br/>
              <w:t>P-</w:t>
            </w:r>
            <w:proofErr w:type="spellStart"/>
            <w:r w:rsidRPr="00F60E86">
              <w:rPr>
                <w:sz w:val="24"/>
              </w:rPr>
              <w:t>Nitrrophenylphosphate</w:t>
            </w:r>
            <w:proofErr w:type="spellEnd"/>
            <w:r w:rsidRPr="00F60E86">
              <w:rPr>
                <w:sz w:val="24"/>
              </w:rPr>
              <w:t xml:space="preserve"> + H2O……………..Phosphate + P-</w:t>
            </w:r>
            <w:proofErr w:type="spellStart"/>
            <w:r w:rsidRPr="00F60E86">
              <w:rPr>
                <w:sz w:val="24"/>
              </w:rPr>
              <w:t>NNitrrophenol</w:t>
            </w:r>
            <w:proofErr w:type="spellEnd"/>
            <w:r w:rsidRPr="00F60E86">
              <w:rPr>
                <w:sz w:val="24"/>
              </w:rPr>
              <w:t> 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روش انجام آزمایش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قبل از اجرای کار بروشور کیت مطالعه و بررسی شود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در صورت تغییر کیت پارامترهای دستگاهی تست مورد نظر بررسی، ثبت و گزارش شود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ادامه مراحل اجرایی کار با دستگاه به</w:t>
            </w:r>
            <w:r w:rsidRPr="00F60E86">
              <w:rPr>
                <w:sz w:val="24"/>
              </w:rPr>
              <w:t> SOP </w:t>
            </w:r>
            <w:r w:rsidRPr="00F60E86">
              <w:rPr>
                <w:sz w:val="24"/>
                <w:rtl/>
              </w:rPr>
              <w:t>دستگاهی هیتاچی 717 مراجعه شود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جهت انجام آزمایش به روش دستگاهی پارامترهای دستگاهی تست مورد نظر را که شرکت تولید کننده ارائه نموده است چک و بررسی نمایید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محدودیت ها و عوامل مداخله گر در آزمایش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غذا یی که بتتازگی خورده شده باشد میتواند سطح</w:t>
            </w:r>
            <w:r w:rsidRPr="00F60E86">
              <w:rPr>
                <w:sz w:val="24"/>
              </w:rPr>
              <w:t> ALP </w:t>
            </w:r>
            <w:r w:rsidRPr="00F60E86">
              <w:rPr>
                <w:sz w:val="24"/>
                <w:rtl/>
              </w:rPr>
              <w:t>را افزایش دهد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سن کودکان کم سال با رشد سریع استخوانی دارای</w:t>
            </w:r>
            <w:r w:rsidRPr="00F60E86">
              <w:rPr>
                <w:sz w:val="24"/>
              </w:rPr>
              <w:t> ALP </w:t>
            </w:r>
            <w:r w:rsidRPr="00F60E86">
              <w:rPr>
                <w:sz w:val="24"/>
                <w:rtl/>
              </w:rPr>
              <w:t>بالایی میباشد. که بارزترین زمان ان در طی جهش رشد است زنان و مردان از نظر سن جهش رشد با یکدیگر تفاوت دارند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داروهای افزاینده:البومینی که از بافت جفت تهیه شده؛الوپورینول؛انتی بیوتیکها؛ازاتیوپرین؛ کلشی سین؛ فلوریدها؛ایندومتاسین؛ ایزونیازید</w:t>
            </w:r>
            <w:r w:rsidRPr="00F60E86">
              <w:rPr>
                <w:sz w:val="24"/>
              </w:rPr>
              <w:t>(INH)</w:t>
            </w:r>
            <w:r w:rsidRPr="00F60E86">
              <w:rPr>
                <w:sz w:val="24"/>
                <w:rtl/>
              </w:rPr>
              <w:t>؛ متوترکسات؛ متیل دوپا؛اسیدنیکوتینیک؛ فنوتیازین؛پروبنسید؛ تتراسایکلین و وراپامیل</w:t>
            </w:r>
            <w:r w:rsidRPr="00F60E86">
              <w:rPr>
                <w:sz w:val="24"/>
              </w:rPr>
              <w:t>.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داروهای کاهنده: ارسنیکالها, سیانید ها,فلوریدها,نیتروفرانتویین,اگزالاتها و نمکهای روی</w:t>
            </w:r>
            <w:r w:rsidRPr="00F60E86">
              <w:rPr>
                <w:sz w:val="24"/>
              </w:rPr>
              <w:t>.</w:t>
            </w:r>
            <w:r w:rsidRPr="00F60E86">
              <w:rPr>
                <w:sz w:val="24"/>
              </w:rPr>
              <w:br/>
              <w:t xml:space="preserve">- </w:t>
            </w:r>
            <w:r w:rsidRPr="00F60E86">
              <w:rPr>
                <w:sz w:val="24"/>
                <w:rtl/>
              </w:rPr>
              <w:t xml:space="preserve">اسید اسکوربیک تا غلظت 30میلی گرم در دسی </w:t>
            </w:r>
            <w:proofErr w:type="gramStart"/>
            <w:r w:rsidRPr="00F60E86">
              <w:rPr>
                <w:sz w:val="24"/>
                <w:rtl/>
              </w:rPr>
              <w:t>لیتر ,</w:t>
            </w:r>
            <w:proofErr w:type="gramEnd"/>
            <w:r w:rsidRPr="00F60E86">
              <w:rPr>
                <w:sz w:val="24"/>
                <w:rtl/>
              </w:rPr>
              <w:t xml:space="preserve"> تری گلیسرید تا غلظت 2000 میلی گرم در دسی لیتر,هموگلوبین تا غلظت</w:t>
            </w:r>
            <w:r w:rsidRPr="00F60E86">
              <w:rPr>
                <w:sz w:val="24"/>
              </w:rPr>
              <w:t xml:space="preserve"> 150 </w:t>
            </w:r>
            <w:r w:rsidRPr="00F60E86">
              <w:rPr>
                <w:sz w:val="24"/>
                <w:rtl/>
              </w:rPr>
              <w:t>میلی گرم در دسی لیتر و بیلی روبین تا غلظت 40 میلی گرم در دسی لیتر باعث تداخل در ازمایش نمیشود</w:t>
            </w:r>
            <w:r w:rsidRPr="00F60E86">
              <w:rPr>
                <w:sz w:val="24"/>
              </w:rPr>
              <w:br/>
              <w:t> </w:t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نکات ایمنی :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در هنگام استفاده از دستگاه</w:t>
            </w:r>
            <w:r w:rsidRPr="00F60E86">
              <w:rPr>
                <w:sz w:val="24"/>
              </w:rPr>
              <w:t>  </w:t>
            </w:r>
            <w:r w:rsidRPr="00F60E86">
              <w:rPr>
                <w:sz w:val="24"/>
                <w:rtl/>
              </w:rPr>
              <w:t>می بایست کلیه نکات ایمنی مربوط به وسایل برقی را رعایت نمایید .</w:t>
            </w:r>
            <w:r w:rsidRPr="00F60E86">
              <w:rPr>
                <w:sz w:val="24"/>
                <w:rtl/>
              </w:rPr>
              <w:br/>
              <w:t>از هرگونه خوردن و آشامیدن و کشیدن سیگار در محیط آزمایشگاه خودداری نمایید .</w:t>
            </w:r>
            <w:r w:rsidRPr="00F60E86">
              <w:rPr>
                <w:sz w:val="24"/>
                <w:rtl/>
              </w:rPr>
              <w:br/>
              <w:t>از هرگونه تماس مستقیم با مواد بالقوه عفونت زا بدون استفاده از پوشش محافظ خودداری کنید .</w:t>
            </w:r>
            <w:r w:rsidRPr="00F60E86">
              <w:rPr>
                <w:sz w:val="24"/>
                <w:rtl/>
              </w:rPr>
              <w:br/>
              <w:t>هرگونه محلول ریخته شده روی سطوح را توسط محلول هیپوکلریت سدیم 5%</w:t>
            </w:r>
            <w:r w:rsidRPr="00F60E86">
              <w:rPr>
                <w:rFonts w:cs="Times New Roman"/>
                <w:sz w:val="24"/>
                <w:rtl/>
              </w:rPr>
              <w:t> </w:t>
            </w:r>
            <w:r w:rsidRPr="00F60E86">
              <w:rPr>
                <w:sz w:val="24"/>
                <w:rtl/>
              </w:rPr>
              <w:t xml:space="preserve"> ، ضد عفونی کنید .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مستندات مرتبط :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شناسنامه دستگاه</w:t>
            </w:r>
            <w:r w:rsidRPr="00F60E86">
              <w:rPr>
                <w:sz w:val="24"/>
                <w:rtl/>
              </w:rPr>
              <w:br/>
              <w:t>فرم ثبت نتایج کالیبراسیون دستگاه</w:t>
            </w:r>
            <w:r w:rsidRPr="00F60E86">
              <w:rPr>
                <w:sz w:val="24"/>
                <w:rtl/>
              </w:rPr>
              <w:br/>
              <w:t>فرم درخواست سرویس و کالیبراسیون دستگاه</w:t>
            </w:r>
            <w:r w:rsidRPr="00F60E86">
              <w:rPr>
                <w:sz w:val="24"/>
              </w:rPr>
              <w:br/>
              <w:t>Log book </w:t>
            </w:r>
            <w:r w:rsidRPr="00F60E86">
              <w:rPr>
                <w:sz w:val="24"/>
                <w:rtl/>
              </w:rPr>
              <w:t>دستگاه</w:t>
            </w:r>
            <w:r w:rsidRPr="00F60E86">
              <w:rPr>
                <w:sz w:val="24"/>
                <w:rtl/>
              </w:rPr>
              <w:br/>
              <w:t>فرم ثبت عدم انطباق و انجام اقدامات اصلاحی و پیشگیرانه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lastRenderedPageBreak/>
              <w:t>محدوده قابل اندازه گیری:</w:t>
            </w:r>
            <w:r w:rsidRPr="00F60E86">
              <w:rPr>
                <w:sz w:val="24"/>
              </w:rPr>
              <w:t> 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متناسب با کیت</w:t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محدوده رفرانس :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متناسب با کیت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b/>
                <w:bCs/>
                <w:sz w:val="24"/>
                <w:rtl/>
              </w:rPr>
              <w:t>تفسیر نتایج</w:t>
            </w:r>
            <w:r w:rsidRPr="00F60E86">
              <w:rPr>
                <w:b/>
                <w:bCs/>
                <w:sz w:val="24"/>
              </w:rPr>
              <w:t> 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  <w:rtl/>
              </w:rPr>
              <w:t>این تست برای تشخیص و ارزیابی مبتلایان به بیماری کبدی یا استخوانی استفاده میشود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bookmarkStart w:id="0" w:name="_GoBack"/>
            <w:bookmarkEnd w:id="0"/>
            <w:r w:rsidRPr="00F60E86">
              <w:rPr>
                <w:sz w:val="24"/>
              </w:rPr>
              <w:br/>
              <w:t> </w:t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  <w:r w:rsidRPr="00F60E86">
              <w:rPr>
                <w:sz w:val="24"/>
              </w:rPr>
              <w:br/>
            </w:r>
          </w:p>
        </w:tc>
      </w:tr>
    </w:tbl>
    <w:p w:rsidR="00F60E86" w:rsidRPr="00F60E86" w:rsidRDefault="00F60E86" w:rsidP="00F60E86">
      <w:pPr>
        <w:bidi w:val="0"/>
        <w:rPr>
          <w:rFonts w:ascii="Tahoma" w:hAnsi="Tahoma"/>
          <w:color w:val="000000"/>
          <w:sz w:val="24"/>
        </w:rPr>
      </w:pPr>
    </w:p>
    <w:p w:rsidR="00F60E86" w:rsidRPr="00F60E86" w:rsidRDefault="00F60E86" w:rsidP="00F60E86">
      <w:pPr>
        <w:bidi w:val="0"/>
        <w:rPr>
          <w:rFonts w:ascii="Tahoma" w:hAnsi="Tahoma"/>
          <w:color w:val="000000"/>
          <w:sz w:val="24"/>
        </w:rPr>
      </w:pPr>
    </w:p>
    <w:p w:rsidR="001E59F1" w:rsidRPr="00F60E86" w:rsidRDefault="001E59F1" w:rsidP="00146B57">
      <w:pPr>
        <w:rPr>
          <w:sz w:val="24"/>
        </w:rPr>
      </w:pPr>
    </w:p>
    <w:sectPr w:rsidR="001E59F1" w:rsidRPr="00F60E86" w:rsidSect="001E5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424" w:bottom="1800" w:left="540" w:header="450" w:footer="159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40" w:rsidRDefault="00445D40">
      <w:pPr>
        <w:rPr>
          <w:rtl/>
        </w:rPr>
      </w:pPr>
      <w:r>
        <w:separator/>
      </w:r>
    </w:p>
  </w:endnote>
  <w:endnote w:type="continuationSeparator" w:id="0">
    <w:p w:rsidR="00445D40" w:rsidRDefault="00445D40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86" w:rsidRDefault="00F60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977" w:type="dxa"/>
      <w:tblInd w:w="12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5708"/>
      <w:gridCol w:w="5269"/>
    </w:tblGrid>
    <w:tr w:rsidR="00146B57" w:rsidTr="001E59F1">
      <w:tc>
        <w:tcPr>
          <w:tcW w:w="5708" w:type="dxa"/>
          <w:hideMark/>
        </w:tcPr>
        <w:p w:rsidR="00146B57" w:rsidRDefault="00146B57" w:rsidP="00146B57">
          <w:pPr>
            <w:jc w:val="center"/>
            <w:rPr>
              <w:b/>
              <w:bCs/>
              <w:lang w:bidi="fa-IR"/>
            </w:rPr>
          </w:pPr>
          <w:r>
            <w:rPr>
              <w:rFonts w:hint="cs"/>
              <w:b/>
              <w:bCs/>
              <w:rtl/>
              <w:lang w:bidi="fa-IR"/>
            </w:rPr>
            <w:t>تایید کننده:</w:t>
          </w:r>
        </w:p>
      </w:tc>
      <w:tc>
        <w:tcPr>
          <w:tcW w:w="5269" w:type="dxa"/>
          <w:hideMark/>
        </w:tcPr>
        <w:p w:rsidR="00146B57" w:rsidRDefault="00146B57">
          <w:pPr>
            <w:ind w:left="113" w:right="113"/>
            <w:jc w:val="center"/>
            <w:rPr>
              <w:b/>
              <w:bCs/>
              <w:sz w:val="12"/>
              <w:szCs w:val="12"/>
            </w:rPr>
          </w:pPr>
          <w:r>
            <w:rPr>
              <w:rFonts w:hint="cs"/>
              <w:b/>
              <w:bCs/>
              <w:rtl/>
              <w:lang w:bidi="fa-IR"/>
            </w:rPr>
            <w:t xml:space="preserve">تصویب کننده: </w:t>
          </w:r>
        </w:p>
      </w:tc>
    </w:tr>
    <w:tr w:rsidR="00146B57" w:rsidTr="001E59F1">
      <w:tc>
        <w:tcPr>
          <w:tcW w:w="5708" w:type="dxa"/>
        </w:tcPr>
        <w:p w:rsidR="00146B57" w:rsidRDefault="00146B57">
          <w:pPr>
            <w:jc w:val="lowKashida"/>
            <w:rPr>
              <w:b/>
              <w:bCs/>
              <w:rtl/>
              <w:lang w:bidi="fa-IR"/>
            </w:rPr>
          </w:pPr>
        </w:p>
        <w:p w:rsidR="00146B57" w:rsidRDefault="00146B57">
          <w:pPr>
            <w:jc w:val="lowKashida"/>
            <w:rPr>
              <w:b/>
              <w:bCs/>
            </w:rPr>
          </w:pPr>
        </w:p>
      </w:tc>
      <w:tc>
        <w:tcPr>
          <w:tcW w:w="5269" w:type="dxa"/>
        </w:tcPr>
        <w:p w:rsidR="00146B57" w:rsidRDefault="00146B57">
          <w:pPr>
            <w:bidi w:val="0"/>
            <w:rPr>
              <w:b/>
              <w:bCs/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>`</w:t>
          </w:r>
        </w:p>
      </w:tc>
    </w:tr>
  </w:tbl>
  <w:p w:rsidR="007C4AF6" w:rsidRDefault="007C4AF6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86" w:rsidRDefault="00F60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40" w:rsidRDefault="00445D40">
      <w:r>
        <w:separator/>
      </w:r>
    </w:p>
  </w:footnote>
  <w:footnote w:type="continuationSeparator" w:id="0">
    <w:p w:rsidR="00445D40" w:rsidRDefault="00445D40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86" w:rsidRDefault="00F60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2336"/>
      <w:gridCol w:w="6120"/>
      <w:gridCol w:w="2430"/>
    </w:tblGrid>
    <w:tr w:rsidR="007C4AF6" w:rsidTr="001E59F1">
      <w:trPr>
        <w:cantSplit/>
        <w:trHeight w:val="385"/>
      </w:trPr>
      <w:tc>
        <w:tcPr>
          <w:tcW w:w="2336" w:type="dxa"/>
          <w:vMerge w:val="restart"/>
          <w:hideMark/>
        </w:tcPr>
        <w:p w:rsidR="007C4AF6" w:rsidRDefault="007C4AF6">
          <w:pPr>
            <w:jc w:val="center"/>
            <w:rPr>
              <w:b/>
              <w:bCs/>
              <w:sz w:val="8"/>
              <w:szCs w:val="8"/>
              <w:lang w:bidi="fa-IR"/>
            </w:rPr>
          </w:pPr>
        </w:p>
      </w:tc>
      <w:tc>
        <w:tcPr>
          <w:tcW w:w="6120" w:type="dxa"/>
          <w:tcBorders>
            <w:bottom w:val="nil"/>
          </w:tcBorders>
        </w:tcPr>
        <w:p w:rsidR="007C4AF6" w:rsidRDefault="007C4AF6">
          <w:pPr>
            <w:jc w:val="center"/>
            <w:rPr>
              <w:b/>
              <w:bCs/>
              <w:sz w:val="8"/>
              <w:szCs w:val="8"/>
              <w:lang w:bidi="fa-IR"/>
            </w:rPr>
          </w:pPr>
        </w:p>
      </w:tc>
      <w:tc>
        <w:tcPr>
          <w:tcW w:w="2430" w:type="dxa"/>
          <w:vMerge w:val="restart"/>
          <w:hideMark/>
        </w:tcPr>
        <w:p w:rsidR="007C4AF6" w:rsidRDefault="007C4AF6">
          <w:pPr>
            <w:jc w:val="center"/>
            <w:rPr>
              <w:b/>
              <w:bCs/>
              <w:noProof/>
              <w:sz w:val="8"/>
              <w:szCs w:val="8"/>
            </w:rPr>
          </w:pPr>
        </w:p>
        <w:p w:rsidR="00146B57" w:rsidRDefault="00146B57">
          <w:pPr>
            <w:jc w:val="center"/>
            <w:rPr>
              <w:b/>
              <w:bCs/>
              <w:noProof/>
              <w:sz w:val="8"/>
              <w:szCs w:val="8"/>
            </w:rPr>
          </w:pPr>
        </w:p>
        <w:p w:rsidR="00146B57" w:rsidRDefault="00146B57">
          <w:pPr>
            <w:jc w:val="center"/>
            <w:rPr>
              <w:b/>
              <w:bCs/>
              <w:sz w:val="8"/>
              <w:szCs w:val="8"/>
              <w:lang w:bidi="fa-IR"/>
            </w:rPr>
          </w:pPr>
        </w:p>
      </w:tc>
    </w:tr>
    <w:tr w:rsidR="009B44F3" w:rsidTr="009B44F3">
      <w:trPr>
        <w:cantSplit/>
        <w:trHeight w:val="950"/>
      </w:trPr>
      <w:tc>
        <w:tcPr>
          <w:tcW w:w="2336" w:type="dxa"/>
          <w:vMerge/>
          <w:vAlign w:val="center"/>
          <w:hideMark/>
        </w:tcPr>
        <w:p w:rsidR="009B44F3" w:rsidRDefault="009B44F3">
          <w:pPr>
            <w:bidi w:val="0"/>
            <w:rPr>
              <w:b/>
              <w:bCs/>
              <w:sz w:val="8"/>
              <w:szCs w:val="8"/>
              <w:lang w:bidi="fa-IR"/>
            </w:rPr>
          </w:pPr>
        </w:p>
      </w:tc>
      <w:tc>
        <w:tcPr>
          <w:tcW w:w="6120" w:type="dxa"/>
          <w:vMerge w:val="restart"/>
          <w:tcBorders>
            <w:top w:val="nil"/>
          </w:tcBorders>
          <w:hideMark/>
        </w:tcPr>
        <w:p w:rsidR="009B44F3" w:rsidRPr="00146B57" w:rsidRDefault="00F60E86">
          <w:pPr>
            <w:jc w:val="center"/>
            <w:rPr>
              <w:b/>
              <w:bCs/>
              <w:sz w:val="32"/>
              <w:szCs w:val="32"/>
              <w:lang w:bidi="fa-IR"/>
            </w:rPr>
          </w:pPr>
          <w:r w:rsidRPr="00F60E86">
            <w:rPr>
              <w:b/>
              <w:bCs/>
              <w:sz w:val="32"/>
              <w:szCs w:val="32"/>
              <w:rtl/>
            </w:rPr>
            <w:t>دستورالعمل روش انجام آزما</w:t>
          </w:r>
          <w:r w:rsidRPr="00F60E86">
            <w:rPr>
              <w:rFonts w:hint="cs"/>
              <w:b/>
              <w:bCs/>
              <w:sz w:val="32"/>
              <w:szCs w:val="32"/>
              <w:rtl/>
            </w:rPr>
            <w:t>ی</w:t>
          </w:r>
          <w:r w:rsidRPr="00F60E86">
            <w:rPr>
              <w:rFonts w:hint="eastAsia"/>
              <w:b/>
              <w:bCs/>
              <w:sz w:val="32"/>
              <w:szCs w:val="32"/>
              <w:rtl/>
            </w:rPr>
            <w:t>ش</w:t>
          </w:r>
          <w:r w:rsidRPr="00F60E86">
            <w:rPr>
              <w:b/>
              <w:bCs/>
              <w:sz w:val="32"/>
              <w:szCs w:val="32"/>
              <w:rtl/>
            </w:rPr>
            <w:t xml:space="preserve"> </w:t>
          </w:r>
          <w:r w:rsidRPr="00F60E86">
            <w:rPr>
              <w:b/>
              <w:bCs/>
              <w:sz w:val="32"/>
              <w:szCs w:val="32"/>
            </w:rPr>
            <w:t>ALP</w:t>
          </w:r>
        </w:p>
      </w:tc>
      <w:tc>
        <w:tcPr>
          <w:tcW w:w="2430" w:type="dxa"/>
          <w:vMerge/>
          <w:vAlign w:val="center"/>
          <w:hideMark/>
        </w:tcPr>
        <w:p w:rsidR="009B44F3" w:rsidRDefault="009B44F3">
          <w:pPr>
            <w:bidi w:val="0"/>
            <w:rPr>
              <w:b/>
              <w:bCs/>
              <w:sz w:val="8"/>
              <w:szCs w:val="8"/>
              <w:lang w:bidi="fa-IR"/>
            </w:rPr>
          </w:pPr>
        </w:p>
      </w:tc>
    </w:tr>
    <w:tr w:rsidR="009B44F3" w:rsidTr="009F384D">
      <w:trPr>
        <w:cantSplit/>
        <w:trHeight w:val="419"/>
      </w:trPr>
      <w:tc>
        <w:tcPr>
          <w:tcW w:w="2336" w:type="dxa"/>
          <w:hideMark/>
        </w:tcPr>
        <w:p w:rsidR="009B44F3" w:rsidRDefault="009B44F3" w:rsidP="00F60E86">
          <w:pPr>
            <w:jc w:val="lowKashida"/>
            <w:rPr>
              <w:b/>
              <w:bCs/>
              <w:lang w:bidi="fa-IR"/>
            </w:rPr>
          </w:pPr>
          <w:r>
            <w:rPr>
              <w:rFonts w:hint="cs"/>
              <w:b/>
              <w:bCs/>
              <w:rtl/>
            </w:rPr>
            <w:t xml:space="preserve">شمارة </w:t>
          </w:r>
          <w:r>
            <w:rPr>
              <w:rFonts w:hint="cs"/>
              <w:b/>
              <w:bCs/>
              <w:rtl/>
              <w:lang w:bidi="fa-IR"/>
            </w:rPr>
            <w:t>سند</w:t>
          </w:r>
          <w:r>
            <w:rPr>
              <w:rFonts w:hint="cs"/>
              <w:b/>
              <w:bCs/>
              <w:rtl/>
            </w:rPr>
            <w:t xml:space="preserve"> : </w:t>
          </w:r>
          <w:r w:rsidR="00F60E86">
            <w:rPr>
              <w:b/>
              <w:bCs/>
              <w:lang w:bidi="fa-IR"/>
            </w:rPr>
            <w:t>432</w:t>
          </w:r>
        </w:p>
      </w:tc>
      <w:tc>
        <w:tcPr>
          <w:tcW w:w="6120" w:type="dxa"/>
          <w:vMerge/>
          <w:hideMark/>
        </w:tcPr>
        <w:p w:rsidR="009B44F3" w:rsidRDefault="009B44F3">
          <w:pPr>
            <w:jc w:val="lowKashida"/>
            <w:rPr>
              <w:b/>
              <w:bCs/>
            </w:rPr>
          </w:pPr>
        </w:p>
      </w:tc>
      <w:tc>
        <w:tcPr>
          <w:tcW w:w="2430" w:type="dxa"/>
          <w:hideMark/>
        </w:tcPr>
        <w:p w:rsidR="009B44F3" w:rsidRPr="007C41D6" w:rsidRDefault="009B44F3" w:rsidP="009B44F3">
          <w:pPr>
            <w:spacing w:before="100" w:beforeAutospacing="1"/>
            <w:jc w:val="center"/>
          </w:pPr>
          <w:r w:rsidRPr="001E59F1">
            <w:rPr>
              <w:rFonts w:hint="cs"/>
              <w:sz w:val="24"/>
              <w:rtl/>
            </w:rPr>
            <w:t>صفح</w:t>
          </w:r>
          <w:r>
            <w:rPr>
              <w:rFonts w:hint="cs"/>
              <w:sz w:val="24"/>
              <w:rtl/>
              <w:lang w:bidi="fa-IR"/>
            </w:rPr>
            <w:t>ه</w:t>
          </w:r>
          <w:r w:rsidRPr="001E59F1">
            <w:rPr>
              <w:rFonts w:hint="cs"/>
              <w:sz w:val="24"/>
              <w:rtl/>
            </w:rPr>
            <w:t xml:space="preserve"> :</w:t>
          </w:r>
          <w:r>
            <w:rPr>
              <w:rFonts w:hint="cs"/>
              <w:sz w:val="24"/>
              <w:rtl/>
            </w:rPr>
            <w:t xml:space="preserve"> </w:t>
          </w:r>
          <w:r w:rsidR="007C4AF6">
            <w:rPr>
              <w:rFonts w:hint="cs"/>
              <w:sz w:val="24"/>
              <w:rtl/>
            </w:rPr>
            <w:fldChar w:fldCharType="begin"/>
          </w:r>
          <w:r>
            <w:rPr>
              <w:sz w:val="24"/>
            </w:rPr>
            <w:instrText xml:space="preserve"> PAGE   \* MERGEFORMAT </w:instrText>
          </w:r>
          <w:r w:rsidR="007C4AF6">
            <w:rPr>
              <w:rFonts w:hint="cs"/>
              <w:sz w:val="24"/>
              <w:rtl/>
            </w:rPr>
            <w:fldChar w:fldCharType="separate"/>
          </w:r>
          <w:r w:rsidR="00A44CC1">
            <w:rPr>
              <w:noProof/>
              <w:sz w:val="24"/>
              <w:rtl/>
            </w:rPr>
            <w:t>1</w:t>
          </w:r>
          <w:r w:rsidR="007C4AF6">
            <w:rPr>
              <w:rFonts w:hint="cs"/>
              <w:sz w:val="24"/>
              <w:rtl/>
            </w:rPr>
            <w:fldChar w:fldCharType="end"/>
          </w:r>
          <w:r>
            <w:rPr>
              <w:rFonts w:hint="cs"/>
              <w:sz w:val="24"/>
              <w:rtl/>
            </w:rPr>
            <w:t xml:space="preserve">  از  </w:t>
          </w:r>
          <w:r w:rsidR="007C4AF6" w:rsidRPr="001E59F1">
            <w:rPr>
              <w:sz w:val="24"/>
            </w:rPr>
            <w:fldChar w:fldCharType="begin"/>
          </w:r>
          <w:r w:rsidRPr="001E59F1">
            <w:rPr>
              <w:sz w:val="24"/>
            </w:rPr>
            <w:instrText xml:space="preserve"> NUMPAGES  </w:instrText>
          </w:r>
          <w:r w:rsidR="007C4AF6" w:rsidRPr="001E59F1">
            <w:rPr>
              <w:sz w:val="24"/>
            </w:rPr>
            <w:fldChar w:fldCharType="separate"/>
          </w:r>
          <w:r w:rsidR="00A44CC1">
            <w:rPr>
              <w:noProof/>
              <w:sz w:val="24"/>
              <w:rtl/>
            </w:rPr>
            <w:t>4</w:t>
          </w:r>
          <w:r w:rsidR="007C4AF6" w:rsidRPr="001E59F1">
            <w:rPr>
              <w:sz w:val="24"/>
            </w:rPr>
            <w:fldChar w:fldCharType="end"/>
          </w:r>
        </w:p>
      </w:tc>
    </w:tr>
  </w:tbl>
  <w:p w:rsidR="007C4AF6" w:rsidRDefault="007C4AF6" w:rsidP="007C41D6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86" w:rsidRDefault="00F60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9A9"/>
    <w:multiLevelType w:val="hybridMultilevel"/>
    <w:tmpl w:val="1BF4B6E2"/>
    <w:lvl w:ilvl="0" w:tplc="43183C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B57"/>
    <w:rsid w:val="00146B57"/>
    <w:rsid w:val="001E59F1"/>
    <w:rsid w:val="0020115D"/>
    <w:rsid w:val="00445D40"/>
    <w:rsid w:val="007C41D6"/>
    <w:rsid w:val="007C4AF6"/>
    <w:rsid w:val="009B44F3"/>
    <w:rsid w:val="00A44CC1"/>
    <w:rsid w:val="00E93AB1"/>
    <w:rsid w:val="00F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17DDF9A4-5B23-400A-8D6F-657872F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F6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C4AF6"/>
    <w:pPr>
      <w:keepNext/>
      <w:outlineLvl w:val="0"/>
    </w:pPr>
    <w:rPr>
      <w:rFonts w:ascii="B Nazanin" w:eastAsiaTheme="minorEastAsia" w:hAnsi="B Nazani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4AF6"/>
    <w:pPr>
      <w:keepNext/>
      <w:jc w:val="lowKashida"/>
      <w:outlineLvl w:val="1"/>
    </w:pPr>
    <w:rPr>
      <w:rFonts w:ascii="B Nazanin" w:eastAsiaTheme="minorEastAsia" w:hAnsi="B Nazani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A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AF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C4AF6"/>
    <w:rPr>
      <w:rFonts w:ascii="B Nazanin" w:hAnsi="B Nazanin" w:cs="B Nazanin" w:hint="c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7C4AF6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bidi="ar-SA"/>
    </w:rPr>
  </w:style>
  <w:style w:type="paragraph" w:styleId="NormalWeb">
    <w:name w:val="Normal (Web)"/>
    <w:basedOn w:val="Normal"/>
    <w:uiPriority w:val="99"/>
    <w:semiHidden/>
    <w:unhideWhenUsed/>
    <w:rsid w:val="007C4AF6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C4A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AF6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C4A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4AF6"/>
    <w:rPr>
      <w:szCs w:val="24"/>
      <w:lang w:bidi="ar-SA"/>
    </w:rPr>
  </w:style>
  <w:style w:type="paragraph" w:styleId="Caption">
    <w:name w:val="caption"/>
    <w:basedOn w:val="Normal"/>
    <w:next w:val="Normal"/>
    <w:uiPriority w:val="35"/>
    <w:semiHidden/>
    <w:qFormat/>
    <w:rsid w:val="007C4AF6"/>
    <w:rPr>
      <w:b/>
      <w:bCs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AF6"/>
    <w:rPr>
      <w:rFonts w:cs="Arabic Transparent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4AF6"/>
    <w:rPr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AF6"/>
    <w:rPr>
      <w:rFonts w:ascii="Tahoma" w:hAnsi="Tahoma" w:cs="Tahoma" w:hint="default"/>
      <w:sz w:val="16"/>
      <w:szCs w:val="16"/>
      <w:lang w:bidi="ar-SA"/>
    </w:rPr>
  </w:style>
  <w:style w:type="paragraph" w:styleId="ListParagraph">
    <w:name w:val="List Paragraph"/>
    <w:basedOn w:val="Normal"/>
    <w:uiPriority w:val="34"/>
    <w:semiHidden/>
    <w:qFormat/>
    <w:rsid w:val="007C4AF6"/>
    <w:pPr>
      <w:bidi w:val="0"/>
      <w:spacing w:before="100" w:beforeAutospacing="1" w:after="100" w:afterAutospacing="1"/>
    </w:pPr>
    <w:rPr>
      <w:rFonts w:cs="Times New Roman"/>
      <w:sz w:val="24"/>
    </w:rPr>
  </w:style>
  <w:style w:type="table" w:styleId="TableGrid">
    <w:name w:val="Table Grid"/>
    <w:basedOn w:val="TableNormal"/>
    <w:rsid w:val="007C4AF6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unhideWhenUsed/>
    <w:rsid w:val="007C4AF6"/>
  </w:style>
  <w:style w:type="character" w:styleId="Strong">
    <w:name w:val="Strong"/>
    <w:basedOn w:val="DefaultParagraphFont"/>
    <w:uiPriority w:val="22"/>
    <w:qFormat/>
    <w:rsid w:val="00F60E86"/>
    <w:rPr>
      <w:b/>
      <w:bCs/>
    </w:rPr>
  </w:style>
  <w:style w:type="character" w:customStyle="1" w:styleId="apple-converted-space">
    <w:name w:val="apple-converted-space"/>
    <w:basedOn w:val="DefaultParagraphFont"/>
    <w:rsid w:val="00F6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93F1-B25D-4744-A0B6-5743387D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5098</Characters>
  <Application>Microsoft Office Word</Application>
  <DocSecurity>0</DocSecurity>
  <Lines>42</Lines>
  <Paragraphs>11</Paragraphs>
  <ScaleCrop>false</ScaleCrop>
  <Company>Pastoor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مستندات مربوط به‌سيستم مدیریت کیفیت</dc:subject>
  <dc:creator>گر.ه مديريت ايساتيس</dc:creator>
  <cp:lastModifiedBy>JALALI</cp:lastModifiedBy>
  <cp:revision>3</cp:revision>
  <cp:lastPrinted>2009-03-09T13:45:00Z</cp:lastPrinted>
  <dcterms:created xsi:type="dcterms:W3CDTF">2015-01-28T05:30:00Z</dcterms:created>
  <dcterms:modified xsi:type="dcterms:W3CDTF">2019-09-16T15:03:00Z</dcterms:modified>
</cp:coreProperties>
</file>